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000C77">
        <w:rPr>
          <w:rFonts w:ascii="Arial" w:hAnsi="Arial" w:cs="Arial"/>
          <w:b/>
          <w:bCs/>
          <w:spacing w:val="1"/>
          <w:w w:val="102"/>
          <w:sz w:val="18"/>
          <w:szCs w:val="18"/>
        </w:rPr>
        <w:t>2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000C77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000C77">
        <w:rPr>
          <w:rFonts w:ascii="Arial" w:hAnsi="Arial" w:cs="Arial"/>
          <w:b/>
          <w:bCs/>
          <w:spacing w:val="-1"/>
          <w:sz w:val="15"/>
          <w:szCs w:val="15"/>
        </w:rPr>
        <w:t>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000C77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D94CCF">
        <w:rPr>
          <w:rFonts w:ascii="Arial" w:hAnsi="Arial" w:cs="Arial"/>
          <w:spacing w:val="-1"/>
          <w:w w:val="104"/>
          <w:sz w:val="15"/>
          <w:szCs w:val="15"/>
        </w:rPr>
        <w:t>la adquisición de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D94CCF" w:rsidRPr="00BE3FE5">
        <w:rPr>
          <w:rFonts w:ascii="Arial" w:hAnsi="Arial" w:cs="Arial"/>
          <w:b/>
          <w:sz w:val="18"/>
          <w:szCs w:val="18"/>
        </w:rPr>
        <w:t>MEDICAMENTO</w:t>
      </w:r>
      <w:r w:rsidR="00D94CCF">
        <w:rPr>
          <w:rFonts w:ascii="Arial" w:hAnsi="Arial" w:cs="Arial"/>
          <w:b/>
          <w:sz w:val="18"/>
          <w:szCs w:val="18"/>
        </w:rPr>
        <w:t xml:space="preserve"> Y MATERIAL DE CURACIÓN</w:t>
      </w:r>
      <w:r w:rsidR="00D94CCF">
        <w:rPr>
          <w:rFonts w:ascii="Arial" w:hAnsi="Arial" w:cs="Arial"/>
          <w:sz w:val="18"/>
          <w:szCs w:val="18"/>
        </w:rPr>
        <w:t xml:space="preserve"> </w:t>
      </w:r>
      <w:r w:rsidR="00D94CCF">
        <w:rPr>
          <w:rFonts w:ascii="Arial" w:hAnsi="Arial" w:cs="Arial"/>
          <w:b/>
          <w:sz w:val="18"/>
          <w:szCs w:val="18"/>
        </w:rPr>
        <w:t>PARA LOS CENTROS PENITENCIARIOS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797F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797F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797F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03/15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362F0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362F0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E4AD8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362F0F" w:rsidP="002D5EC1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/03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000C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000C77" w:rsidP="00D94CCF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642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063"/>
        <w:gridCol w:w="1323"/>
        <w:gridCol w:w="1854"/>
        <w:gridCol w:w="3453"/>
      </w:tblGrid>
      <w:tr w:rsidR="00D94CCF" w:rsidRPr="00BB1F25" w:rsidTr="00D94CCF">
        <w:trPr>
          <w:trHeight w:hRule="exact" w:val="4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aquete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D94CCF" w:rsidRPr="007C5342" w:rsidTr="00D94CCF">
        <w:trPr>
          <w:trHeight w:hRule="exact" w:val="122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D94CCF" w:rsidRPr="00BB1F25" w:rsidRDefault="00D94CCF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</w:rPr>
            </w:pPr>
            <w:r w:rsidRPr="00D94CC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ADQUISICION DE MEDICAMENTO Y MATERIAL DE</w:t>
            </w:r>
            <w:r w:rsidR="00362F0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CURACIÓN PARA LOS CENTROS PENI</w:t>
            </w:r>
            <w:r w:rsidRPr="00D94CC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TENCIARIOS DEL ESTADO DE COLIMA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307D9E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 w:rsidR="00EC109B">
        <w:rPr>
          <w:rFonts w:ascii="Arial" w:hAnsi="Arial" w:cs="Arial"/>
          <w:b/>
          <w:bCs/>
          <w:sz w:val="15"/>
          <w:szCs w:val="15"/>
        </w:rPr>
        <w:t>as Adquisiciones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05178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</w:t>
      </w:r>
      <w:r w:rsidR="00D94CCF">
        <w:rPr>
          <w:rFonts w:ascii="Arial" w:hAnsi="Arial" w:cs="Arial"/>
          <w:color w:val="000000"/>
          <w:sz w:val="15"/>
          <w:szCs w:val="15"/>
        </w:rPr>
        <w:t>los bienes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D94CCF">
        <w:rPr>
          <w:rFonts w:ascii="Arial" w:hAnsi="Arial" w:cs="Arial"/>
          <w:color w:val="000000"/>
          <w:sz w:val="15"/>
          <w:szCs w:val="15"/>
        </w:rPr>
        <w:t>las oficinas del CERESO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, en el periodo contratado, el cual será del </w:t>
      </w:r>
      <w:r w:rsidR="00A90CB7">
        <w:rPr>
          <w:rFonts w:ascii="Arial" w:hAnsi="Arial" w:cs="Arial"/>
          <w:color w:val="000000"/>
          <w:sz w:val="15"/>
          <w:szCs w:val="15"/>
        </w:rPr>
        <w:t>26</w:t>
      </w:r>
      <w:r w:rsidR="00000C77">
        <w:rPr>
          <w:rFonts w:ascii="Arial" w:hAnsi="Arial" w:cs="Arial"/>
          <w:color w:val="000000"/>
          <w:sz w:val="15"/>
          <w:szCs w:val="15"/>
        </w:rPr>
        <w:t xml:space="preserve"> de Marzo al 31 de Diciembre de 2015</w:t>
      </w:r>
      <w:r w:rsidR="00F05178">
        <w:rPr>
          <w:rFonts w:ascii="Arial" w:hAnsi="Arial" w:cs="Arial"/>
          <w:color w:val="000000"/>
          <w:sz w:val="15"/>
          <w:szCs w:val="15"/>
        </w:rPr>
        <w:t>.</w:t>
      </w:r>
      <w:bookmarkStart w:id="0" w:name="_GoBack"/>
      <w:bookmarkEnd w:id="0"/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0F7B2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19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000C77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FEBRERO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000C77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5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000C77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BLANCA ISABEL ÁVALOS FERNÁNDEZ</w:t>
      </w:r>
    </w:p>
    <w:p w:rsidR="00FB713B" w:rsidRPr="004B24BE" w:rsidRDefault="000F7B2B" w:rsidP="00D94CC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SECRETARIA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</w:t>
      </w:r>
    </w:p>
    <w:sectPr w:rsidR="00FB713B" w:rsidRPr="004B24BE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8D" w:rsidRDefault="00D5288D" w:rsidP="00AC5BE1">
      <w:r>
        <w:separator/>
      </w:r>
    </w:p>
  </w:endnote>
  <w:endnote w:type="continuationSeparator" w:id="0">
    <w:p w:rsidR="00D5288D" w:rsidRDefault="00D5288D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CD2BFA" w:rsidRDefault="00F05178" w:rsidP="00F05178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</w:t>
    </w:r>
    <w:r w:rsidR="00EC109B">
      <w:rPr>
        <w:rFonts w:asciiTheme="minorHAnsi" w:hAnsiTheme="minorHAnsi"/>
        <w:b/>
        <w:color w:val="595959" w:themeColor="text1" w:themeTint="A6"/>
        <w:sz w:val="18"/>
      </w:rPr>
      <w:t>AÑO 2015, 75 AÑOS DE LA FUNDACIÓN DE LA UNIVERSIDAD DE COLIMA</w:t>
    </w:r>
    <w:r w:rsidRPr="00CD2BFA">
      <w:rPr>
        <w:rFonts w:asciiTheme="minorHAnsi" w:hAnsiTheme="minorHAnsi"/>
        <w:b/>
        <w:color w:val="595959" w:themeColor="text1" w:themeTint="A6"/>
        <w:sz w:val="18"/>
      </w:rPr>
      <w:t>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8D" w:rsidRDefault="00D5288D" w:rsidP="00AC5BE1">
      <w:r>
        <w:separator/>
      </w:r>
    </w:p>
  </w:footnote>
  <w:footnote w:type="continuationSeparator" w:id="0">
    <w:p w:rsidR="00D5288D" w:rsidRDefault="00D5288D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-218660</wp:posOffset>
          </wp:positionV>
          <wp:extent cx="1348574" cy="720230"/>
          <wp:effectExtent l="19050" t="0" r="397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72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0C77"/>
    <w:rsid w:val="00003929"/>
    <w:rsid w:val="00003C34"/>
    <w:rsid w:val="00006107"/>
    <w:rsid w:val="00013270"/>
    <w:rsid w:val="0001473A"/>
    <w:rsid w:val="000168D4"/>
    <w:rsid w:val="00023085"/>
    <w:rsid w:val="0003113E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0F7B2B"/>
    <w:rsid w:val="001033C5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D5EC1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2F0F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A4872"/>
    <w:rsid w:val="003B1332"/>
    <w:rsid w:val="003B141A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83509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367"/>
    <w:rsid w:val="00737A15"/>
    <w:rsid w:val="007456F0"/>
    <w:rsid w:val="00756691"/>
    <w:rsid w:val="00762525"/>
    <w:rsid w:val="00770E25"/>
    <w:rsid w:val="00771669"/>
    <w:rsid w:val="007756D5"/>
    <w:rsid w:val="00797FEF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4521A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45A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0CB7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6E4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E74C9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81C9A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288D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3E66"/>
    <w:rsid w:val="00D94CCF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1269"/>
    <w:rsid w:val="00E93289"/>
    <w:rsid w:val="00EA7ED1"/>
    <w:rsid w:val="00EC0BF0"/>
    <w:rsid w:val="00EC109B"/>
    <w:rsid w:val="00EC23AD"/>
    <w:rsid w:val="00EC3386"/>
    <w:rsid w:val="00EC458C"/>
    <w:rsid w:val="00EC5076"/>
    <w:rsid w:val="00ED255D"/>
    <w:rsid w:val="00ED5F9F"/>
    <w:rsid w:val="00ED7C4D"/>
    <w:rsid w:val="00EE52AC"/>
    <w:rsid w:val="00EF2A46"/>
    <w:rsid w:val="00F05178"/>
    <w:rsid w:val="00F052B4"/>
    <w:rsid w:val="00F1582A"/>
    <w:rsid w:val="00F22B65"/>
    <w:rsid w:val="00F23CD9"/>
    <w:rsid w:val="00F26009"/>
    <w:rsid w:val="00F26404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38C8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ima-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0374-8336-4F55-A314-44CD1C7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3604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11</cp:revision>
  <cp:lastPrinted>2015-02-19T17:08:00Z</cp:lastPrinted>
  <dcterms:created xsi:type="dcterms:W3CDTF">2014-02-12T17:23:00Z</dcterms:created>
  <dcterms:modified xsi:type="dcterms:W3CDTF">2015-02-19T17:09:00Z</dcterms:modified>
</cp:coreProperties>
</file>