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1B" w:rsidRPr="00642C7B" w:rsidRDefault="00A86A1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bCs/>
          <w:color w:val="2F2F2F"/>
          <w:lang w:eastAsia="es-MX"/>
        </w:rPr>
      </w:pPr>
      <w:bookmarkStart w:id="0" w:name="_GoBack"/>
      <w:bookmarkEnd w:id="0"/>
      <w:r w:rsidRPr="00642C7B">
        <w:rPr>
          <w:rFonts w:ascii="Arial" w:eastAsia="Times New Roman" w:hAnsi="Arial" w:cs="Arial"/>
          <w:bCs/>
          <w:color w:val="2F2F2F"/>
          <w:lang w:eastAsia="es-MX"/>
        </w:rPr>
        <w:t>COORDINACIÓN DE LOS SERVICIOS EDUCATIVOS DEL ESTADO</w:t>
      </w:r>
    </w:p>
    <w:p w:rsidR="00A86A1B" w:rsidRPr="00642C7B" w:rsidRDefault="00A86A1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bCs/>
          <w:color w:val="2F2F2F"/>
          <w:lang w:eastAsia="es-MX"/>
        </w:rPr>
      </w:pPr>
      <w:r w:rsidRPr="00642C7B">
        <w:rPr>
          <w:rFonts w:ascii="Arial" w:eastAsia="Times New Roman" w:hAnsi="Arial" w:cs="Arial"/>
          <w:bCs/>
          <w:color w:val="2F2F2F"/>
          <w:lang w:eastAsia="es-MX"/>
        </w:rPr>
        <w:t>Dirección de Administra</w:t>
      </w:r>
      <w:r w:rsidR="00642C7B">
        <w:rPr>
          <w:rFonts w:ascii="Arial" w:eastAsia="Times New Roman" w:hAnsi="Arial" w:cs="Arial"/>
          <w:bCs/>
          <w:color w:val="2F2F2F"/>
          <w:lang w:eastAsia="es-MX"/>
        </w:rPr>
        <w:t>ción y Finanzas</w:t>
      </w:r>
    </w:p>
    <w:p w:rsidR="00A86A1B" w:rsidRPr="00642C7B" w:rsidRDefault="00642C7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b/>
          <w:bCs/>
          <w:color w:val="2F2F2F"/>
          <w:lang w:eastAsia="es-MX"/>
        </w:rPr>
      </w:pPr>
      <w:r>
        <w:rPr>
          <w:rFonts w:ascii="Arial" w:eastAsia="Times New Roman" w:hAnsi="Arial" w:cs="Arial"/>
          <w:b/>
          <w:bCs/>
          <w:color w:val="2F2F2F"/>
          <w:lang w:eastAsia="es-MX"/>
        </w:rPr>
        <w:t xml:space="preserve">Resumen de Convocatoria </w:t>
      </w:r>
      <w:r w:rsidR="009D0082" w:rsidRPr="009D0082">
        <w:rPr>
          <w:rFonts w:ascii="Arial" w:eastAsia="Times New Roman" w:hAnsi="Arial" w:cs="Arial"/>
          <w:b/>
          <w:bCs/>
          <w:color w:val="2F2F2F"/>
          <w:lang w:eastAsia="es-MX"/>
        </w:rPr>
        <w:t>LA-906025990-E10-2017</w:t>
      </w:r>
    </w:p>
    <w:p w:rsidR="00A86A1B" w:rsidRPr="00A86A1B" w:rsidRDefault="00A86A1B" w:rsidP="00A86A1B">
      <w:pPr>
        <w:spacing w:after="120" w:line="240" w:lineRule="auto"/>
        <w:ind w:left="120"/>
        <w:jc w:val="both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De conformidad con la Ley de Adquisiciones, Arrendamientos y Servicios del Sector Público, se convoca a los interesados a participar en la Licitación Pública Nacional, cuya Convocatoria que contiene las bases de participación, que están disponibles para consulta en las oficinas de la Subdirección de Recursos </w:t>
      </w:r>
      <w:r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Materiales</w:t>
      </w: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la CSEE sita en  Av. Gonzalo de Sandoval No. 760, Colonia Las Víboras, C.P. 28040, Colima, Colima; teléfono (01)312 31 6-</w:t>
      </w:r>
      <w:r w:rsidR="00142DB6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16</w:t>
      </w: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-</w:t>
      </w:r>
      <w:r w:rsidR="00142DB6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26</w:t>
      </w: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, los días lunes a viernes de las 9:00 A 15:00 hrs. o bien en Internet: https://compranet.funcionpublica.gob.mx</w:t>
      </w:r>
    </w:p>
    <w:p w:rsidR="00A86A1B" w:rsidRPr="00A86A1B" w:rsidRDefault="00A86A1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Licitación Pública </w:t>
      </w:r>
      <w:r w:rsidRPr="002037F7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Nacional </w:t>
      </w:r>
      <w:r w:rsidR="001249B7" w:rsidRPr="002037F7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No. </w:t>
      </w:r>
      <w:r w:rsidR="002037F7" w:rsidRPr="002037F7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LA-906025990-E</w:t>
      </w:r>
      <w:r w:rsidR="00142DB6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10</w:t>
      </w:r>
      <w:r w:rsidR="002037F7" w:rsidRPr="002037F7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-2017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5965"/>
      </w:tblGrid>
      <w:tr w:rsidR="00142DB6" w:rsidRPr="00A86A1B" w:rsidTr="00142DB6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86A1B" w:rsidRPr="00A86A1B" w:rsidRDefault="00A86A1B" w:rsidP="00142DB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1" w:name="table01"/>
            <w:bookmarkEnd w:id="1"/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 licitación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1B" w:rsidRPr="00A86A1B" w:rsidRDefault="00142DB6" w:rsidP="00142DB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  <w:r w:rsidRPr="00142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dquisición de libros, para el equipamiento de la Biblioteca del ISENC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</w:t>
            </w:r>
            <w:r w:rsidRPr="00142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 Campus Cuauhtémoc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142DB6" w:rsidRPr="00A86A1B" w:rsidTr="00A86A1B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Volumen a adquirir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Los detalles se determinan en la propia convocatoria</w:t>
            </w:r>
          </w:p>
        </w:tc>
      </w:tr>
      <w:tr w:rsidR="00142DB6" w:rsidRPr="00A86A1B" w:rsidTr="00546FF2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Fecha de publicación en </w:t>
            </w:r>
            <w:proofErr w:type="spellStart"/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CompraNet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1B" w:rsidRPr="00A86A1B" w:rsidRDefault="00142DB6" w:rsidP="00142DB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</w:t>
            </w:r>
            <w:r w:rsidR="00A86A1B"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  <w:r w:rsidR="00A86A1B"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/2017</w:t>
            </w:r>
          </w:p>
        </w:tc>
      </w:tr>
      <w:tr w:rsidR="00142DB6" w:rsidRPr="00A86A1B" w:rsidTr="00A86A1B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Visita a instalaciones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 hay visita</w:t>
            </w:r>
          </w:p>
        </w:tc>
      </w:tr>
      <w:tr w:rsidR="00142DB6" w:rsidRPr="00A86A1B" w:rsidTr="00642C7B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Junta de aclaraciones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1B" w:rsidRPr="00A86A1B" w:rsidRDefault="00254E7B" w:rsidP="009516D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06/11</w:t>
            </w:r>
            <w:r w:rsidR="00642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/2017, 1</w:t>
            </w:r>
            <w:r w:rsidR="00A66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  <w:r w:rsidR="00A86A1B"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:00 horas</w:t>
            </w:r>
          </w:p>
        </w:tc>
      </w:tr>
      <w:tr w:rsidR="00142DB6" w:rsidRPr="00A86A1B" w:rsidTr="00642C7B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A86A1B" w:rsidRPr="00A86A1B" w:rsidRDefault="00A86A1B" w:rsidP="00A86A1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Presentación apertura de proposiciones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1B" w:rsidRPr="00A86A1B" w:rsidRDefault="00254E7B" w:rsidP="00254E7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</w:t>
            </w:r>
            <w:r w:rsidR="00642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  <w:r w:rsidR="00642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/2017,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  <w:r w:rsidR="00A86A1B"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:00 horas</w:t>
            </w:r>
          </w:p>
        </w:tc>
      </w:tr>
    </w:tbl>
    <w:p w:rsidR="00A86A1B" w:rsidRDefault="00A86A1B" w:rsidP="00A86A1B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bookmarkStart w:id="2" w:name="table02"/>
      <w:bookmarkEnd w:id="2"/>
    </w:p>
    <w:p w:rsidR="00546FF2" w:rsidRPr="00A86A1B" w:rsidRDefault="00546FF2" w:rsidP="00A86A1B">
      <w:pPr>
        <w:spacing w:after="0" w:line="240" w:lineRule="auto"/>
        <w:rPr>
          <w:rFonts w:ascii="Arial" w:eastAsia="Times New Roman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</w:p>
    <w:p w:rsidR="00A86A1B" w:rsidRPr="00A86A1B" w:rsidRDefault="00A86A1B" w:rsidP="00A86A1B">
      <w:pPr>
        <w:spacing w:after="0" w:line="240" w:lineRule="auto"/>
        <w:rPr>
          <w:rFonts w:ascii="Arial" w:eastAsia="Times New Roman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3" w:name="table03"/>
      <w:bookmarkEnd w:id="3"/>
    </w:p>
    <w:p w:rsidR="00A86A1B" w:rsidRPr="00A86A1B" w:rsidRDefault="00A86A1B" w:rsidP="00A86A1B">
      <w:pPr>
        <w:spacing w:after="0" w:line="240" w:lineRule="auto"/>
        <w:rPr>
          <w:rFonts w:ascii="Arial" w:eastAsia="Times New Roman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4" w:name="table04"/>
      <w:bookmarkEnd w:id="4"/>
    </w:p>
    <w:p w:rsidR="00A86A1B" w:rsidRPr="00A86A1B" w:rsidRDefault="00A86A1B" w:rsidP="00A86A1B">
      <w:pPr>
        <w:spacing w:after="0" w:line="240" w:lineRule="auto"/>
        <w:rPr>
          <w:rFonts w:ascii="Arial" w:eastAsia="Times New Roman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5" w:name="table05"/>
      <w:bookmarkEnd w:id="5"/>
    </w:p>
    <w:p w:rsidR="00A86A1B" w:rsidRPr="00A86A1B" w:rsidRDefault="00A86A1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COLIMA, COL., A </w:t>
      </w:r>
      <w:r w:rsidR="00254E7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26</w:t>
      </w: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</w:t>
      </w:r>
      <w:r w:rsidR="00254E7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OCTUBRE</w:t>
      </w: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2017.</w:t>
      </w:r>
    </w:p>
    <w:p w:rsidR="00642C7B" w:rsidRDefault="00642C7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642C7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DIREC</w:t>
      </w:r>
      <w:r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TOR</w:t>
      </w:r>
      <w:r w:rsidRPr="00642C7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ADMINISTRACIÓN Y FINANZAS</w:t>
      </w:r>
    </w:p>
    <w:p w:rsidR="00A86A1B" w:rsidRPr="00A86A1B" w:rsidRDefault="00642C7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642C7B">
        <w:rPr>
          <w:rFonts w:ascii="Arial" w:eastAsia="Times New Roman" w:hAnsi="Arial" w:cs="Arial"/>
          <w:b/>
          <w:bCs/>
          <w:color w:val="2F2F2F"/>
          <w:sz w:val="20"/>
          <w:szCs w:val="20"/>
          <w:shd w:val="clear" w:color="auto" w:fill="FFFFFF"/>
          <w:lang w:eastAsia="es-MX"/>
        </w:rPr>
        <w:t>MTRO. SUSANO MADRID ORTIZ</w:t>
      </w:r>
    </w:p>
    <w:p w:rsidR="00A86A1B" w:rsidRPr="00A86A1B" w:rsidRDefault="00A86A1B" w:rsidP="00A86A1B">
      <w:pPr>
        <w:spacing w:after="120" w:line="240" w:lineRule="auto"/>
        <w:ind w:left="120"/>
        <w:jc w:val="center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RUBRICA.</w:t>
      </w:r>
    </w:p>
    <w:p w:rsidR="00493579" w:rsidRPr="00A86A1B" w:rsidRDefault="00493579">
      <w:pPr>
        <w:rPr>
          <w:rFonts w:ascii="Arial" w:hAnsi="Arial" w:cs="Arial"/>
        </w:rPr>
      </w:pPr>
    </w:p>
    <w:sectPr w:rsidR="00493579" w:rsidRPr="00A86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1B"/>
    <w:rsid w:val="001249B7"/>
    <w:rsid w:val="00142DB6"/>
    <w:rsid w:val="002037F7"/>
    <w:rsid w:val="00254E7B"/>
    <w:rsid w:val="002719ED"/>
    <w:rsid w:val="002C5464"/>
    <w:rsid w:val="00493579"/>
    <w:rsid w:val="00546FF2"/>
    <w:rsid w:val="00642C7B"/>
    <w:rsid w:val="006E0E13"/>
    <w:rsid w:val="009516D6"/>
    <w:rsid w:val="00954E82"/>
    <w:rsid w:val="009D0082"/>
    <w:rsid w:val="00A668F9"/>
    <w:rsid w:val="00A86A1B"/>
    <w:rsid w:val="00C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9FCD0-34D4-4786-BBD2-D84D18F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2</cp:revision>
  <cp:lastPrinted>2017-09-01T16:10:00Z</cp:lastPrinted>
  <dcterms:created xsi:type="dcterms:W3CDTF">2019-09-04T17:41:00Z</dcterms:created>
  <dcterms:modified xsi:type="dcterms:W3CDTF">2019-09-04T17:41:00Z</dcterms:modified>
</cp:coreProperties>
</file>